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FD44A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/ЗУ</w:t>
      </w:r>
      <w:r w:rsidRPr="00943A03">
        <w:rPr>
          <w:b/>
          <w:bCs/>
          <w:sz w:val="28"/>
          <w:szCs w:val="28"/>
        </w:rPr>
        <w:t>-2023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FD44A3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FD44A3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1F3664">
              <w:rPr>
                <w:sz w:val="24"/>
              </w:rPr>
              <w:t>12</w:t>
            </w:r>
            <w:r>
              <w:rPr>
                <w:sz w:val="24"/>
              </w:rPr>
              <w:t xml:space="preserve">.2023 </w:t>
            </w:r>
            <w:r w:rsidRPr="006358DA">
              <w:rPr>
                <w:sz w:val="24"/>
              </w:rPr>
              <w:t xml:space="preserve">№ </w:t>
            </w:r>
            <w:r w:rsidR="00FD44A3">
              <w:rPr>
                <w:sz w:val="24"/>
              </w:rPr>
              <w:t>204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D44A3"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 w:rsidR="001F3664"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1F3664"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B6FB9">
              <w:rPr>
                <w:sz w:val="24"/>
              </w:rPr>
              <w:t>местное</w:t>
            </w:r>
            <w:r>
              <w:rPr>
                <w:sz w:val="24"/>
              </w:rPr>
              <w:t>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  <w:bookmarkStart w:id="0" w:name="_GoBack"/>
            <w:bookmarkEnd w:id="0"/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</w:t>
            </w:r>
            <w:r w:rsidR="00FD44A3">
              <w:rPr>
                <w:sz w:val="24"/>
              </w:rPr>
              <w:t>2071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FD44A3">
              <w:rPr>
                <w:sz w:val="24"/>
              </w:rPr>
              <w:t>54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</w:t>
            </w:r>
            <w:r w:rsidR="00567C30">
              <w:rPr>
                <w:bCs/>
                <w:sz w:val="24"/>
              </w:rPr>
              <w:t xml:space="preserve"> возможного</w:t>
            </w:r>
            <w:r w:rsidRPr="002D358F">
              <w:rPr>
                <w:bCs/>
                <w:sz w:val="24"/>
              </w:rPr>
              <w:t xml:space="preserve">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567C30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Теплоснабжение: отсутствует на территории Озерновского городского поселения.</w:t>
            </w:r>
          </w:p>
          <w:p w:rsidR="00567C30" w:rsidRPr="002D358F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Связь: отсутствует возможность подключения.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FD44A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FD44A3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="00FD44A3">
              <w:rPr>
                <w:sz w:val="24"/>
              </w:rPr>
              <w:t>500</w:t>
            </w:r>
            <w:r>
              <w:rPr>
                <w:sz w:val="24"/>
              </w:rPr>
              <w:t xml:space="preserve"> (</w:t>
            </w:r>
            <w:r w:rsidR="00FD44A3">
              <w:rPr>
                <w:sz w:val="24"/>
              </w:rPr>
              <w:t>двадцать</w:t>
            </w:r>
            <w:r w:rsidR="005279B1">
              <w:rPr>
                <w:sz w:val="24"/>
              </w:rPr>
              <w:t xml:space="preserve"> </w:t>
            </w:r>
            <w:r w:rsidR="00FD44A3">
              <w:rPr>
                <w:sz w:val="24"/>
              </w:rPr>
              <w:t>две</w:t>
            </w:r>
            <w:r>
              <w:rPr>
                <w:sz w:val="24"/>
              </w:rPr>
              <w:t xml:space="preserve"> тысяч</w:t>
            </w:r>
            <w:r w:rsidR="00FD44A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D44A3">
              <w:rPr>
                <w:sz w:val="24"/>
              </w:rPr>
              <w:t>пятьсот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FD44A3">
              <w:rPr>
                <w:sz w:val="24"/>
              </w:rPr>
              <w:t>167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FD44A3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FD44A3"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D44A3">
              <w:rPr>
                <w:sz w:val="24"/>
              </w:rPr>
              <w:t>шестьсот</w:t>
            </w:r>
            <w:r w:rsidR="004E0C18">
              <w:rPr>
                <w:sz w:val="24"/>
              </w:rPr>
              <w:t xml:space="preserve"> </w:t>
            </w:r>
            <w:r w:rsidR="00FD44A3">
              <w:rPr>
                <w:sz w:val="24"/>
              </w:rPr>
              <w:t>семьдесят</w:t>
            </w:r>
            <w:r w:rsidR="004E0C18">
              <w:rPr>
                <w:sz w:val="24"/>
              </w:rPr>
              <w:t xml:space="preserve"> </w:t>
            </w:r>
            <w:r w:rsidR="00FD44A3">
              <w:rPr>
                <w:sz w:val="24"/>
              </w:rPr>
              <w:t>пять) рублей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FD44A3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="00567C30">
              <w:rPr>
                <w:sz w:val="24"/>
              </w:rPr>
              <w:t>декабря</w:t>
            </w:r>
            <w:r w:rsidR="004E0C18"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7A72B4">
              <w:rPr>
                <w:sz w:val="24"/>
              </w:rPr>
              <w:t>11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 w:rsidR="00DB6FB9">
              <w:rPr>
                <w:sz w:val="24"/>
              </w:rPr>
              <w:t>. (время – местное)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FD4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415884">
              <w:rPr>
                <w:spacing w:val="-1"/>
                <w:sz w:val="24"/>
              </w:rPr>
              <w:t xml:space="preserve"> </w:t>
            </w:r>
            <w:r w:rsidR="00567C30">
              <w:rPr>
                <w:sz w:val="24"/>
              </w:rPr>
              <w:t>января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 w:rsidR="007A72B4">
              <w:rPr>
                <w:sz w:val="24"/>
              </w:rPr>
              <w:t>11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  <w:r w:rsidR="00DB6FB9" w:rsidRPr="00DB6FB9">
              <w:rPr>
                <w:sz w:val="24"/>
              </w:rPr>
              <w:t xml:space="preserve"> (время – местное)</w:t>
            </w:r>
            <w:r w:rsidR="00DB6FB9"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83216D" w:rsidRPr="0083216D">
              <w:rPr>
                <w:sz w:val="24"/>
              </w:rPr>
              <w:t>30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FD44A3">
              <w:t>6</w:t>
            </w:r>
            <w:r>
              <w:t xml:space="preserve"> </w:t>
            </w:r>
            <w:r w:rsidR="00FD44A3">
              <w:t>750</w:t>
            </w:r>
            <w:r>
              <w:t xml:space="preserve"> (</w:t>
            </w:r>
            <w:r w:rsidR="00FD44A3">
              <w:t>шесть</w:t>
            </w:r>
            <w:r>
              <w:t xml:space="preserve"> тысяч</w:t>
            </w:r>
            <w:r>
              <w:rPr>
                <w:spacing w:val="1"/>
              </w:rPr>
              <w:t xml:space="preserve"> </w:t>
            </w:r>
            <w:r w:rsidR="00FD44A3">
              <w:t>семьсот</w:t>
            </w:r>
            <w:r w:rsidR="0083216D">
              <w:t xml:space="preserve"> </w:t>
            </w:r>
            <w:r w:rsidR="00FD44A3">
              <w:t>пятьдесят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FD44A3">
              <w:rPr>
                <w:b/>
                <w:color w:val="1F1F1F"/>
                <w:sz w:val="24"/>
              </w:rPr>
              <w:t>16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830F7B">
              <w:rPr>
                <w:b/>
                <w:color w:val="1F1F1F"/>
                <w:sz w:val="24"/>
              </w:rPr>
              <w:t>января</w:t>
            </w:r>
            <w:r w:rsidR="00107200">
              <w:rPr>
                <w:b/>
                <w:color w:val="1F1F1F"/>
                <w:sz w:val="24"/>
              </w:rPr>
              <w:t xml:space="preserve"> 2024</w:t>
            </w:r>
            <w:r w:rsidRPr="00CD4613">
              <w:rPr>
                <w:b/>
                <w:color w:val="1F1F1F"/>
                <w:sz w:val="24"/>
              </w:rPr>
              <w:t xml:space="preserve">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0D0FAD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    соответствует    </w:t>
            </w:r>
            <w:r w:rsidR="00DB6FB9">
              <w:rPr>
                <w:sz w:val="24"/>
              </w:rPr>
              <w:t xml:space="preserve">Московскому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0D0FAD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0D0FAD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0D0FAD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0D0FAD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0D0FAD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0D0FAD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0D0FAD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0D0FAD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Pr="003B3A67">
        <w:rPr>
          <w:b/>
          <w:u w:val="single"/>
        </w:rPr>
        <w:t>УФК по Камчатскому краю (</w:t>
      </w:r>
      <w:r>
        <w:rPr>
          <w:b/>
          <w:u w:val="single"/>
        </w:rPr>
        <w:t xml:space="preserve">ОФК </w:t>
      </w:r>
      <w:r w:rsidRPr="003B3A67">
        <w:rPr>
          <w:b/>
          <w:u w:val="single"/>
        </w:rPr>
        <w:t xml:space="preserve">43, Администрация Озерновского городского поселения) ИНН 4108006397  КПП 410801001 Доходный счет </w:t>
      </w:r>
      <w:r>
        <w:rPr>
          <w:b/>
          <w:u w:val="single"/>
        </w:rPr>
        <w:t>03100643000000013800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AD" w:rsidRDefault="000D0FAD" w:rsidP="005C2250">
      <w:r>
        <w:separator/>
      </w:r>
    </w:p>
  </w:endnote>
  <w:endnote w:type="continuationSeparator" w:id="0">
    <w:p w:rsidR="000D0FAD" w:rsidRDefault="000D0FAD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AD" w:rsidRDefault="000D0FAD" w:rsidP="005C2250">
      <w:r>
        <w:separator/>
      </w:r>
    </w:p>
  </w:footnote>
  <w:footnote w:type="continuationSeparator" w:id="0">
    <w:p w:rsidR="000D0FAD" w:rsidRDefault="000D0FAD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043378"/>
    <w:rsid w:val="000D0FAD"/>
    <w:rsid w:val="00107200"/>
    <w:rsid w:val="001C12E5"/>
    <w:rsid w:val="001D0D3F"/>
    <w:rsid w:val="001F3664"/>
    <w:rsid w:val="00217719"/>
    <w:rsid w:val="00270363"/>
    <w:rsid w:val="002D358F"/>
    <w:rsid w:val="003748B8"/>
    <w:rsid w:val="00394C71"/>
    <w:rsid w:val="00415884"/>
    <w:rsid w:val="00440DA0"/>
    <w:rsid w:val="004A47A5"/>
    <w:rsid w:val="004B2B9C"/>
    <w:rsid w:val="004E0C18"/>
    <w:rsid w:val="005042F2"/>
    <w:rsid w:val="005279B1"/>
    <w:rsid w:val="00567C30"/>
    <w:rsid w:val="005B1486"/>
    <w:rsid w:val="005C2250"/>
    <w:rsid w:val="006358DA"/>
    <w:rsid w:val="006B6A29"/>
    <w:rsid w:val="007A72B4"/>
    <w:rsid w:val="00830F7B"/>
    <w:rsid w:val="0083216D"/>
    <w:rsid w:val="00864CE4"/>
    <w:rsid w:val="008848BA"/>
    <w:rsid w:val="009003E0"/>
    <w:rsid w:val="009422EF"/>
    <w:rsid w:val="009A0DFE"/>
    <w:rsid w:val="009B0FDE"/>
    <w:rsid w:val="00A841C9"/>
    <w:rsid w:val="00B74C0A"/>
    <w:rsid w:val="00BC6AB7"/>
    <w:rsid w:val="00C30ABE"/>
    <w:rsid w:val="00CD4613"/>
    <w:rsid w:val="00CF52EA"/>
    <w:rsid w:val="00DB6FB9"/>
    <w:rsid w:val="00F70C9A"/>
    <w:rsid w:val="00FD44A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21</Pages>
  <Words>7141</Words>
  <Characters>40706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14</cp:revision>
  <dcterms:created xsi:type="dcterms:W3CDTF">2023-06-26T00:18:00Z</dcterms:created>
  <dcterms:modified xsi:type="dcterms:W3CDTF">2023-12-19T23:24:00Z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